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【政策解读】</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崇明区促进商业发展财政专项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支持资金的实施细则</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1"/>
        <w:textAlignment w:val="auto"/>
        <w:outlineLvl w:val="9"/>
        <w:rPr>
          <w:rStyle w:val="8"/>
          <w:rFonts w:hint="eastAsia" w:ascii="黑体" w:hAnsi="黑体" w:eastAsia="黑体" w:cs="黑体"/>
          <w:b w:val="0"/>
          <w:bCs w:val="0"/>
          <w:color w:val="000000"/>
          <w:kern w:val="0"/>
          <w:sz w:val="32"/>
          <w:szCs w:val="32"/>
          <w:shd w:val="clear" w:color="auto" w:fill="FFFFFF"/>
          <w:lang w:val="en-US" w:eastAsia="zh-CN"/>
        </w:rPr>
      </w:pPr>
      <w:r>
        <w:rPr>
          <w:rStyle w:val="8"/>
          <w:rFonts w:hint="eastAsia" w:ascii="黑体" w:hAnsi="黑体" w:eastAsia="黑体" w:cs="黑体"/>
          <w:b w:val="0"/>
          <w:bCs w:val="0"/>
          <w:color w:val="000000"/>
          <w:kern w:val="0"/>
          <w:sz w:val="32"/>
          <w:szCs w:val="32"/>
          <w:shd w:val="clear" w:color="auto" w:fill="FFFFFF"/>
          <w:lang w:val="en-US" w:eastAsia="zh-CN"/>
        </w:rPr>
        <w:t>一、制定</w:t>
      </w:r>
      <w:r>
        <w:rPr>
          <w:rStyle w:val="8"/>
          <w:rFonts w:hint="eastAsia" w:ascii="黑体" w:hAnsi="黑体" w:eastAsia="黑体" w:cs="黑体"/>
          <w:b w:val="0"/>
          <w:bCs w:val="0"/>
          <w:color w:val="000000"/>
          <w:kern w:val="0"/>
          <w:sz w:val="32"/>
          <w:szCs w:val="32"/>
          <w:shd w:val="clear" w:color="auto" w:fill="FFFFFF"/>
          <w:lang w:eastAsia="zh-CN"/>
        </w:rPr>
        <w:t>背景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lang w:eastAsia="zh-CN"/>
        </w:rPr>
      </w:pPr>
      <w:r>
        <w:rPr>
          <w:rStyle w:val="8"/>
          <w:rFonts w:hint="eastAsia" w:ascii="仿宋_GB2312" w:hAnsi="仿宋_GB2312" w:eastAsia="仿宋_GB2312" w:cs="仿宋_GB2312"/>
          <w:b w:val="0"/>
          <w:bCs w:val="0"/>
          <w:color w:val="000000"/>
          <w:kern w:val="0"/>
          <w:sz w:val="32"/>
          <w:szCs w:val="32"/>
          <w:shd w:val="clear" w:color="auto" w:fill="FFFFFF"/>
          <w:lang w:val="en-US" w:eastAsia="zh-CN"/>
        </w:rPr>
        <w:t>近年来，我区在“全面建设世界级生态岛”、培育“生态优先、绿色发展”典范的大背景下，</w:t>
      </w:r>
      <w:r>
        <w:rPr>
          <w:rFonts w:ascii="仿宋" w:hAnsi="仿宋" w:eastAsia="仿宋"/>
          <w:bCs/>
          <w:color w:val="000000"/>
          <w:kern w:val="0"/>
          <w:sz w:val="32"/>
          <w:szCs w:val="32"/>
        </w:rPr>
        <w:t>崇明</w:t>
      </w:r>
      <w:r>
        <w:rPr>
          <w:rFonts w:ascii="仿宋" w:hAnsi="仿宋" w:eastAsia="仿宋"/>
          <w:color w:val="000000"/>
          <w:sz w:val="32"/>
          <w:szCs w:val="32"/>
        </w:rPr>
        <w:t>商业在</w:t>
      </w:r>
      <w:r>
        <w:rPr>
          <w:rFonts w:hint="eastAsia" w:ascii="仿宋" w:hAnsi="仿宋" w:eastAsia="仿宋"/>
          <w:color w:val="000000"/>
          <w:sz w:val="32"/>
          <w:szCs w:val="32"/>
          <w:lang w:eastAsia="zh-CN"/>
        </w:rPr>
        <w:t>稳增长促消费</w:t>
      </w:r>
      <w:r>
        <w:rPr>
          <w:rFonts w:ascii="仿宋" w:hAnsi="仿宋" w:eastAsia="仿宋"/>
          <w:color w:val="000000"/>
          <w:sz w:val="32"/>
          <w:szCs w:val="32"/>
        </w:rPr>
        <w:t>、服务民生、可持续发展上取得</w:t>
      </w:r>
      <w:r>
        <w:rPr>
          <w:rFonts w:hint="eastAsia" w:ascii="仿宋" w:hAnsi="仿宋" w:eastAsia="仿宋"/>
          <w:color w:val="000000"/>
          <w:sz w:val="32"/>
          <w:szCs w:val="32"/>
          <w:lang w:eastAsia="zh-CN"/>
        </w:rPr>
        <w:t>了</w:t>
      </w:r>
      <w:r>
        <w:rPr>
          <w:rFonts w:ascii="仿宋" w:hAnsi="仿宋" w:eastAsia="仿宋"/>
          <w:color w:val="000000"/>
          <w:sz w:val="32"/>
          <w:szCs w:val="32"/>
        </w:rPr>
        <w:t>良好进展，但是与市场要求</w:t>
      </w:r>
      <w:r>
        <w:rPr>
          <w:rFonts w:hint="eastAsia" w:ascii="仿宋" w:hAnsi="仿宋" w:eastAsia="仿宋"/>
          <w:color w:val="000000"/>
          <w:sz w:val="32"/>
          <w:szCs w:val="32"/>
          <w:lang w:eastAsia="zh-CN"/>
        </w:rPr>
        <w:t>和</w:t>
      </w:r>
      <w:r>
        <w:rPr>
          <w:rFonts w:ascii="仿宋" w:hAnsi="仿宋" w:eastAsia="仿宋"/>
          <w:color w:val="000000"/>
          <w:sz w:val="32"/>
          <w:szCs w:val="32"/>
        </w:rPr>
        <w:t>人民</w:t>
      </w:r>
      <w:r>
        <w:rPr>
          <w:rFonts w:hint="eastAsia" w:ascii="仿宋" w:hAnsi="仿宋" w:eastAsia="仿宋"/>
          <w:color w:val="000000"/>
          <w:sz w:val="32"/>
          <w:szCs w:val="32"/>
          <w:lang w:eastAsia="zh-CN"/>
        </w:rPr>
        <w:t>群众</w:t>
      </w:r>
      <w:r>
        <w:rPr>
          <w:rFonts w:ascii="仿宋" w:hAnsi="仿宋" w:eastAsia="仿宋"/>
          <w:color w:val="000000"/>
          <w:sz w:val="32"/>
          <w:szCs w:val="32"/>
        </w:rPr>
        <w:t>期望相比，还有一定差距</w:t>
      </w:r>
      <w:r>
        <w:rPr>
          <w:rFonts w:hint="eastAsia" w:ascii="仿宋" w:hAnsi="仿宋" w:eastAsia="仿宋"/>
          <w:color w:val="000000"/>
          <w:sz w:val="32"/>
          <w:szCs w:val="32"/>
          <w:lang w:eastAsia="zh-CN"/>
        </w:rPr>
        <w:t>。</w:t>
      </w:r>
      <w:r>
        <w:rPr>
          <w:rFonts w:hint="eastAsia" w:ascii="仿宋_GB2312" w:hAnsi="黑体" w:eastAsia="仿宋_GB2312" w:cs="仿宋_GB2312"/>
          <w:sz w:val="32"/>
          <w:szCs w:val="32"/>
          <w:lang w:eastAsia="zh-CN"/>
        </w:rPr>
        <w:t>为改善我区商业市场发展环境，助力全市建设国际消费中心城市目标，</w:t>
      </w:r>
      <w:r>
        <w:rPr>
          <w:rFonts w:hint="eastAsia" w:ascii="仿宋_GB2312" w:hAnsi="仿宋_GB2312" w:eastAsia="仿宋_GB2312" w:cs="仿宋_GB2312"/>
          <w:sz w:val="32"/>
          <w:szCs w:val="32"/>
        </w:rPr>
        <w:t>根据区经委、区财政局联合印发的《关于崇明区促进商业发展的若干意见（试行）》（沪崇经规</w:t>
      </w:r>
      <w:r>
        <w:rPr>
          <w:rFonts w:hint="eastAsia" w:ascii="仿宋" w:hAnsi="仿宋" w:eastAsia="仿宋" w:cs="仿宋"/>
          <w:sz w:val="32"/>
          <w:szCs w:val="32"/>
        </w:rPr>
        <w:t>﹝</w:t>
      </w:r>
      <w:r>
        <w:rPr>
          <w:rFonts w:hint="eastAsia" w:ascii="仿宋_GB2312" w:eastAsia="仿宋_GB2312"/>
          <w:sz w:val="32"/>
          <w:szCs w:val="32"/>
        </w:rPr>
        <w:t>2021</w:t>
      </w:r>
      <w:r>
        <w:rPr>
          <w:rFonts w:hint="eastAsia" w:ascii="仿宋" w:hAnsi="仿宋" w:eastAsia="仿宋" w:cs="仿宋"/>
          <w:sz w:val="32"/>
          <w:szCs w:val="32"/>
        </w:rPr>
        <w:t>﹞6号</w:t>
      </w:r>
      <w:r>
        <w:rPr>
          <w:rFonts w:hint="eastAsia" w:ascii="仿宋_GB2312" w:hAnsi="仿宋_GB2312" w:eastAsia="仿宋_GB2312" w:cs="仿宋_GB2312"/>
          <w:sz w:val="32"/>
          <w:szCs w:val="32"/>
        </w:rPr>
        <w:t>）（以下简称《若干意见》）</w:t>
      </w:r>
      <w:r>
        <w:rPr>
          <w:rFonts w:hint="eastAsia" w:ascii="仿宋_GB2312" w:hAnsi="仿宋_GB2312" w:eastAsia="仿宋_GB2312" w:cs="仿宋_GB2312"/>
          <w:sz w:val="32"/>
          <w:szCs w:val="32"/>
          <w:lang w:eastAsia="zh-CN"/>
        </w:rPr>
        <w:t>的文件</w:t>
      </w:r>
      <w:r>
        <w:rPr>
          <w:rFonts w:hint="eastAsia" w:ascii="仿宋_GB2312" w:hAnsi="仿宋_GB2312" w:eastAsia="仿宋_GB2312" w:cs="仿宋_GB2312"/>
          <w:sz w:val="32"/>
          <w:szCs w:val="32"/>
        </w:rPr>
        <w:t>，</w:t>
      </w:r>
      <w:r>
        <w:rPr>
          <w:rFonts w:hint="eastAsia" w:ascii="仿宋_GB2312" w:hAnsi="华文中宋" w:eastAsia="仿宋_GB2312"/>
          <w:color w:val="auto"/>
          <w:sz w:val="32"/>
          <w:szCs w:val="32"/>
          <w:lang w:eastAsia="zh-CN"/>
        </w:rPr>
        <w:t>区经委制定</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崇明区促进商业发展财政专项支持资金的实施细则（征求意见稿）</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，为</w:t>
      </w:r>
      <w:r>
        <w:rPr>
          <w:rFonts w:hint="eastAsia" w:ascii="仿宋_GB2312" w:hAnsi="仿宋_GB2312" w:eastAsia="仿宋_GB2312" w:cs="仿宋_GB2312"/>
          <w:sz w:val="32"/>
          <w:szCs w:val="32"/>
        </w:rPr>
        <w:t>进一步促进我区商业的集聚和可持续发展</w:t>
      </w:r>
      <w:r>
        <w:rPr>
          <w:rFonts w:hint="eastAsia" w:ascii="仿宋_GB2312" w:hAnsi="仿宋_GB2312" w:eastAsia="仿宋_GB2312" w:cs="仿宋_GB2312"/>
          <w:sz w:val="32"/>
          <w:szCs w:val="32"/>
          <w:lang w:eastAsia="zh-CN"/>
        </w:rPr>
        <w:t>，</w:t>
      </w:r>
      <w:r>
        <w:rPr>
          <w:rFonts w:hint="eastAsia" w:ascii="仿宋_GB2312" w:hAnsi="华文中宋" w:eastAsia="仿宋_GB2312"/>
          <w:color w:val="auto"/>
          <w:sz w:val="32"/>
          <w:szCs w:val="32"/>
          <w:lang w:eastAsia="zh-CN"/>
        </w:rPr>
        <w:t>鼓励和吸引各类社会主体集聚商业领域，</w:t>
      </w:r>
      <w:r>
        <w:rPr>
          <w:rFonts w:hint="eastAsia" w:ascii="仿宋_GB2312" w:hAnsi="仿宋_GB2312" w:eastAsia="仿宋_GB2312" w:cs="仿宋_GB2312"/>
          <w:sz w:val="32"/>
          <w:szCs w:val="32"/>
          <w:lang w:eastAsia="zh-CN"/>
        </w:rPr>
        <w:t>促进商企</w:t>
      </w:r>
      <w:r>
        <w:rPr>
          <w:rFonts w:hint="eastAsia" w:ascii="仿宋_GB2312" w:hAnsi="仿宋_GB2312" w:eastAsia="仿宋_GB2312" w:cs="仿宋_GB2312"/>
          <w:sz w:val="32"/>
          <w:szCs w:val="32"/>
        </w:rPr>
        <w:t>做大做强</w:t>
      </w:r>
      <w:r>
        <w:rPr>
          <w:rFonts w:hint="eastAsia" w:ascii="仿宋_GB2312" w:hAnsi="仿宋_GB2312" w:eastAsia="仿宋_GB2312" w:cs="仿宋_GB2312"/>
          <w:sz w:val="32"/>
          <w:szCs w:val="32"/>
          <w:lang w:eastAsia="zh-CN"/>
        </w:rPr>
        <w:t>、培育和引导</w:t>
      </w:r>
      <w:r>
        <w:rPr>
          <w:rFonts w:hint="eastAsia" w:ascii="仿宋_GB2312" w:hAnsi="仿宋_GB2312" w:eastAsia="仿宋_GB2312" w:cs="仿宋_GB2312"/>
          <w:sz w:val="32"/>
          <w:szCs w:val="32"/>
        </w:rPr>
        <w:t>特色商业街区建设</w:t>
      </w:r>
      <w:r>
        <w:rPr>
          <w:rFonts w:hint="eastAsia" w:ascii="仿宋_GB2312" w:hAnsi="仿宋_GB2312" w:eastAsia="仿宋_GB2312" w:cs="仿宋_GB2312"/>
          <w:sz w:val="32"/>
          <w:szCs w:val="32"/>
          <w:lang w:eastAsia="zh-CN"/>
        </w:rPr>
        <w:t>、培育引进</w:t>
      </w:r>
      <w:r>
        <w:rPr>
          <w:rFonts w:hint="eastAsia" w:ascii="仿宋_GB2312" w:hAnsi="仿宋_GB2312" w:eastAsia="仿宋_GB2312" w:cs="仿宋_GB2312"/>
          <w:sz w:val="32"/>
          <w:szCs w:val="32"/>
        </w:rPr>
        <w:t>首店</w:t>
      </w:r>
      <w:r>
        <w:rPr>
          <w:rFonts w:hint="eastAsia" w:ascii="仿宋_GB2312" w:hAnsi="仿宋_GB2312" w:eastAsia="仿宋_GB2312" w:cs="仿宋_GB2312"/>
          <w:sz w:val="32"/>
          <w:szCs w:val="32"/>
          <w:lang w:eastAsia="zh-CN"/>
        </w:rPr>
        <w:t>经济和</w:t>
      </w:r>
      <w:r>
        <w:rPr>
          <w:rFonts w:hint="eastAsia" w:ascii="仿宋_GB2312" w:hAnsi="仿宋_GB2312" w:eastAsia="仿宋_GB2312" w:cs="仿宋_GB2312"/>
          <w:sz w:val="32"/>
          <w:szCs w:val="32"/>
        </w:rPr>
        <w:t>夜间经济</w:t>
      </w:r>
      <w:r>
        <w:rPr>
          <w:rFonts w:hint="eastAsia" w:ascii="仿宋_GB2312" w:hAnsi="仿宋_GB2312" w:eastAsia="仿宋_GB2312" w:cs="仿宋_GB2312"/>
          <w:sz w:val="32"/>
          <w:szCs w:val="32"/>
          <w:lang w:eastAsia="zh-CN"/>
        </w:rPr>
        <w:t>、支持品牌和</w:t>
      </w:r>
      <w:r>
        <w:rPr>
          <w:rFonts w:hint="eastAsia" w:ascii="仿宋_GB2312" w:hAnsi="仿宋_GB2312" w:eastAsia="仿宋_GB2312" w:cs="仿宋_GB2312"/>
          <w:sz w:val="32"/>
          <w:szCs w:val="32"/>
        </w:rPr>
        <w:t>商业环境建设</w:t>
      </w:r>
      <w:r>
        <w:rPr>
          <w:rFonts w:hint="eastAsia" w:ascii="仿宋_GB2312" w:hAnsi="仿宋_GB2312" w:eastAsia="仿宋_GB2312" w:cs="仿宋_GB2312"/>
          <w:sz w:val="32"/>
          <w:szCs w:val="32"/>
          <w:lang w:eastAsia="zh-CN"/>
        </w:rPr>
        <w:t>，</w:t>
      </w:r>
      <w:r>
        <w:rPr>
          <w:rFonts w:hint="eastAsia" w:ascii="仿宋_GB2312" w:hAnsi="华文中宋" w:eastAsia="仿宋_GB2312"/>
          <w:color w:val="auto"/>
          <w:sz w:val="32"/>
          <w:szCs w:val="32"/>
          <w:lang w:eastAsia="zh-CN"/>
        </w:rPr>
        <w:t>提升</w:t>
      </w:r>
      <w:r>
        <w:rPr>
          <w:rFonts w:hint="eastAsia" w:ascii="仿宋_GB2312" w:hAnsi="华文中宋" w:eastAsia="仿宋_GB2312"/>
          <w:color w:val="auto"/>
          <w:sz w:val="32"/>
          <w:szCs w:val="32"/>
        </w:rPr>
        <w:t>崇明商业整体形象</w:t>
      </w:r>
      <w:r>
        <w:rPr>
          <w:rFonts w:hint="eastAsia" w:ascii="仿宋_GB2312" w:hAnsi="华文中宋"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1"/>
        <w:textAlignment w:val="auto"/>
        <w:outlineLvl w:val="9"/>
        <w:rPr>
          <w:rStyle w:val="8"/>
          <w:rFonts w:hint="eastAsia" w:ascii="黑体" w:hAnsi="黑体" w:eastAsia="黑体" w:cs="黑体"/>
          <w:b w:val="0"/>
          <w:bCs w:val="0"/>
          <w:color w:val="000000"/>
          <w:kern w:val="0"/>
          <w:sz w:val="32"/>
          <w:szCs w:val="32"/>
          <w:shd w:val="clear" w:color="auto" w:fill="FFFFFF"/>
          <w:lang w:val="en-US" w:eastAsia="zh-CN"/>
        </w:rPr>
      </w:pPr>
      <w:r>
        <w:rPr>
          <w:rStyle w:val="8"/>
          <w:rFonts w:hint="eastAsia" w:ascii="黑体" w:hAnsi="黑体" w:eastAsia="黑体" w:cs="黑体"/>
          <w:b w:val="0"/>
          <w:bCs w:val="0"/>
          <w:color w:val="000000"/>
          <w:kern w:val="0"/>
          <w:sz w:val="32"/>
          <w:szCs w:val="32"/>
          <w:shd w:val="clear" w:color="auto" w:fill="FFFFFF"/>
          <w:lang w:val="en-US" w:eastAsia="zh-CN"/>
        </w:rPr>
        <w:t>二、主要内容</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（一）支持范围</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必须是工商注册地、实际经营地和财税户管地均在崇明区的市场主体和运营主体。</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（二）支持方向</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支持体系建设、支持做大做强、支持特色商业街区建设、支持首店开业、支持夜间经济、支持品牌建设、支持商业环境建设。</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tbl>
      <w:tblPr>
        <w:tblStyle w:val="6"/>
        <w:tblW w:w="10228" w:type="dxa"/>
        <w:jc w:val="center"/>
        <w:shd w:val="clear" w:color="auto" w:fill="auto"/>
        <w:tblLayout w:type="fixed"/>
        <w:tblCellMar>
          <w:top w:w="0" w:type="dxa"/>
          <w:left w:w="0" w:type="dxa"/>
          <w:bottom w:w="0" w:type="dxa"/>
          <w:right w:w="0" w:type="dxa"/>
        </w:tblCellMar>
      </w:tblPr>
      <w:tblGrid>
        <w:gridCol w:w="669"/>
        <w:gridCol w:w="778"/>
        <w:gridCol w:w="4920"/>
        <w:gridCol w:w="3861"/>
      </w:tblGrid>
      <w:tr>
        <w:tblPrEx>
          <w:shd w:val="clear" w:color="auto" w:fill="auto"/>
          <w:tblCellMar>
            <w:top w:w="0" w:type="dxa"/>
            <w:left w:w="0" w:type="dxa"/>
            <w:bottom w:w="0" w:type="dxa"/>
            <w:right w:w="0" w:type="dxa"/>
          </w:tblCellMar>
        </w:tblPrEx>
        <w:trPr>
          <w:trHeight w:val="579"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名称</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项目内容</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奖补标准</w:t>
            </w:r>
          </w:p>
        </w:tc>
      </w:tr>
      <w:tr>
        <w:tblPrEx>
          <w:shd w:val="clear" w:color="auto" w:fill="auto"/>
          <w:tblCellMar>
            <w:top w:w="0" w:type="dxa"/>
            <w:left w:w="0" w:type="dxa"/>
            <w:bottom w:w="0" w:type="dxa"/>
            <w:right w:w="0" w:type="dxa"/>
          </w:tblCellMar>
        </w:tblPrEx>
        <w:trPr>
          <w:trHeight w:val="1417"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支持体系建设</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大型商业综合体</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Style w:val="9"/>
                <w:rFonts w:hint="eastAsia" w:ascii="仿宋_GB2312" w:hAnsi="仿宋_GB2312" w:eastAsia="仿宋_GB2312" w:cs="仿宋_GB2312"/>
                <w:b w:val="0"/>
                <w:bCs/>
                <w:sz w:val="24"/>
                <w:szCs w:val="24"/>
                <w:lang w:val="en-US" w:eastAsia="zh-CN" w:bidi="ar"/>
              </w:rPr>
              <w:t>商业建筑面积</w:t>
            </w:r>
            <w:r>
              <w:rPr>
                <w:rStyle w:val="10"/>
                <w:rFonts w:hint="eastAsia" w:ascii="仿宋_GB2312" w:hAnsi="仿宋_GB2312" w:eastAsia="仿宋_GB2312" w:cs="仿宋_GB2312"/>
                <w:b w:val="0"/>
                <w:bCs/>
                <w:sz w:val="24"/>
                <w:szCs w:val="24"/>
                <w:lang w:val="en-US" w:eastAsia="zh-CN" w:bidi="ar"/>
              </w:rPr>
              <w:t>：1万-3万（不含）㎡、3万-6万（不含）㎡、6-10万（不含）㎡；</w:t>
            </w:r>
            <w:r>
              <w:rPr>
                <w:rStyle w:val="9"/>
                <w:rFonts w:hint="eastAsia" w:ascii="仿宋_GB2312" w:hAnsi="仿宋_GB2312" w:eastAsia="仿宋_GB2312" w:cs="仿宋_GB2312"/>
                <w:b w:val="0"/>
                <w:bCs/>
                <w:sz w:val="24"/>
                <w:szCs w:val="24"/>
                <w:lang w:val="en-US" w:eastAsia="zh-CN" w:bidi="ar"/>
              </w:rPr>
              <w:t>运营时间</w:t>
            </w:r>
            <w:r>
              <w:rPr>
                <w:rStyle w:val="10"/>
                <w:rFonts w:hint="eastAsia" w:ascii="仿宋_GB2312" w:hAnsi="仿宋_GB2312" w:eastAsia="仿宋_GB2312" w:cs="仿宋_GB2312"/>
                <w:b w:val="0"/>
                <w:bCs/>
                <w:sz w:val="24"/>
                <w:szCs w:val="24"/>
                <w:lang w:val="en-US" w:eastAsia="zh-CN" w:bidi="ar"/>
              </w:rPr>
              <w:t>：新开业且平稳运营满一年；</w:t>
            </w:r>
            <w:r>
              <w:rPr>
                <w:rStyle w:val="9"/>
                <w:rFonts w:hint="eastAsia" w:ascii="仿宋_GB2312" w:hAnsi="仿宋_GB2312" w:eastAsia="仿宋_GB2312" w:cs="仿宋_GB2312"/>
                <w:b w:val="0"/>
                <w:bCs/>
                <w:sz w:val="24"/>
                <w:szCs w:val="24"/>
                <w:lang w:val="en-US" w:eastAsia="zh-CN" w:bidi="ar"/>
              </w:rPr>
              <w:t>开业率</w:t>
            </w:r>
            <w:r>
              <w:rPr>
                <w:rStyle w:val="10"/>
                <w:rFonts w:hint="eastAsia" w:ascii="仿宋_GB2312" w:hAnsi="仿宋_GB2312" w:eastAsia="仿宋_GB2312" w:cs="仿宋_GB2312"/>
                <w:b w:val="0"/>
                <w:bCs/>
                <w:sz w:val="24"/>
                <w:szCs w:val="24"/>
                <w:lang w:val="en-US" w:eastAsia="zh-CN" w:bidi="ar"/>
              </w:rPr>
              <w:t>：70%以上。</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1.分别按照总额最高不超过20万元、50万元、100万元的额度，分三年按40%、30%、30%比例给予运营主体开业奖励。</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2.对10万平方米以上的重大商贸项目采取一事一议。</w:t>
            </w:r>
          </w:p>
        </w:tc>
      </w:tr>
      <w:tr>
        <w:tblPrEx>
          <w:shd w:val="clear" w:color="auto" w:fill="auto"/>
          <w:tblCellMar>
            <w:top w:w="0" w:type="dxa"/>
            <w:left w:w="0" w:type="dxa"/>
            <w:bottom w:w="0" w:type="dxa"/>
            <w:right w:w="0" w:type="dxa"/>
          </w:tblCellMar>
        </w:tblPrEx>
        <w:trPr>
          <w:trHeight w:val="891"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支持做大做强</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商业综合体的运营主体及入驻商户年本级财政贡献额达到1000万元（房地产公司及股权投资等一次性税收除外），且保持年递增。</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每年给予20万元奖励。</w:t>
            </w:r>
          </w:p>
        </w:tc>
      </w:tr>
      <w:tr>
        <w:tblPrEx>
          <w:shd w:val="clear" w:color="auto" w:fill="auto"/>
          <w:tblCellMar>
            <w:top w:w="0" w:type="dxa"/>
            <w:left w:w="0" w:type="dxa"/>
            <w:bottom w:w="0" w:type="dxa"/>
            <w:right w:w="0" w:type="dxa"/>
          </w:tblCellMar>
        </w:tblPrEx>
        <w:trPr>
          <w:trHeight w:val="615"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特色商业街区建设</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支持有条件乡镇人民政府对镇区核心商业街区的形态及业态进行提升改造。</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按提升改造运行规模和质量，一次性奖励50万元-100万元。</w:t>
            </w:r>
          </w:p>
        </w:tc>
      </w:tr>
      <w:tr>
        <w:tblPrEx>
          <w:shd w:val="clear" w:color="auto" w:fill="auto"/>
          <w:tblCellMar>
            <w:top w:w="0" w:type="dxa"/>
            <w:left w:w="0" w:type="dxa"/>
            <w:bottom w:w="0" w:type="dxa"/>
            <w:right w:w="0" w:type="dxa"/>
          </w:tblCellMar>
        </w:tblPrEx>
        <w:trPr>
          <w:trHeight w:val="117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sz w:val="24"/>
                <w:szCs w:val="24"/>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重点支持崇明八一路步行街等重点地区商圈转型升级，积极发展新零售、新业态。</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1.国家级商业特色街区：一次性奖励30万元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2.市级商业特色街区：一次性奖励20万元。</w:t>
            </w:r>
          </w:p>
        </w:tc>
      </w:tr>
      <w:tr>
        <w:tblPrEx>
          <w:shd w:val="clear" w:color="auto" w:fill="auto"/>
          <w:tblCellMar>
            <w:top w:w="0" w:type="dxa"/>
            <w:left w:w="0" w:type="dxa"/>
            <w:bottom w:w="0" w:type="dxa"/>
            <w:right w:w="0" w:type="dxa"/>
          </w:tblCellMar>
        </w:tblPrEx>
        <w:trPr>
          <w:trHeight w:val="110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sz w:val="24"/>
                <w:szCs w:val="24"/>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支持有条件的商业市场主体进行转型提升。鼓励城桥镇、陈家镇、长兴镇和堡镇等重点区域的商业市场主体，按本区域商业发展布局规划要求，新引进餐饮、休闲、娱乐、文体、医疗健康等现代生活服务性业态。</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转型提升改造面积：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1.1万㎡以上一次性奖励20万元，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2.面积每增加1000㎡再奖励2万元，单个主体最高奖励不超过30万元。</w:t>
            </w:r>
          </w:p>
        </w:tc>
      </w:tr>
      <w:tr>
        <w:tblPrEx>
          <w:shd w:val="clear" w:color="auto" w:fill="auto"/>
          <w:tblCellMar>
            <w:top w:w="0" w:type="dxa"/>
            <w:left w:w="0" w:type="dxa"/>
            <w:bottom w:w="0" w:type="dxa"/>
            <w:right w:w="0" w:type="dxa"/>
          </w:tblCellMar>
        </w:tblPrEx>
        <w:trPr>
          <w:trHeight w:val="80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sz w:val="24"/>
                <w:szCs w:val="24"/>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支持重点区域商业配套设施建设（城桥镇、陈家镇、长兴镇和堡镇的商业市场主体或运营主体）。</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1.承租并改建商业主街区配套停车场设施达到20个标准机动车停车位，平稳运营满一年，一次性奖励5万元。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2.对超过20个以上停车位的，给予同比例奖励。</w:t>
            </w:r>
          </w:p>
        </w:tc>
      </w:tr>
      <w:tr>
        <w:tblPrEx>
          <w:shd w:val="clear" w:color="auto" w:fill="auto"/>
          <w:tblCellMar>
            <w:top w:w="0" w:type="dxa"/>
            <w:left w:w="0" w:type="dxa"/>
            <w:bottom w:w="0" w:type="dxa"/>
            <w:right w:w="0" w:type="dxa"/>
          </w:tblCellMar>
        </w:tblPrEx>
        <w:trPr>
          <w:trHeight w:val="924"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sz w:val="24"/>
                <w:szCs w:val="24"/>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发展社区商业，推进15分钟社区生活圈建设，新引进品牌连锁便利店以及实施社区生活性服务业的市场主体。</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由各乡镇人民政府结合本区域实际自行制定扶持政策。</w:t>
            </w:r>
          </w:p>
        </w:tc>
      </w:tr>
      <w:tr>
        <w:tblPrEx>
          <w:shd w:val="clear" w:color="auto" w:fill="auto"/>
          <w:tblCellMar>
            <w:top w:w="0" w:type="dxa"/>
            <w:left w:w="0" w:type="dxa"/>
            <w:bottom w:w="0" w:type="dxa"/>
            <w:right w:w="0" w:type="dxa"/>
          </w:tblCellMar>
        </w:tblPrEx>
        <w:trPr>
          <w:trHeight w:val="110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支持首店开业</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中国首店、上海首店等引领性国际、本土品牌直营店入驻崇明区，平稳运营满一年，同时签订不低于3年租赁协议。</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1.中国首店：奖励50万元。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2.上海首店：奖励30万元。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以上两种奖励分三年按40%、30%、30%比例拨付。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3.崇明首店：给予命名、授牌。</w:t>
            </w:r>
          </w:p>
        </w:tc>
      </w:tr>
      <w:tr>
        <w:tblPrEx>
          <w:shd w:val="clear" w:color="auto" w:fill="auto"/>
          <w:tblCellMar>
            <w:top w:w="0" w:type="dxa"/>
            <w:left w:w="0" w:type="dxa"/>
            <w:bottom w:w="0" w:type="dxa"/>
            <w:right w:w="0" w:type="dxa"/>
          </w:tblCellMar>
        </w:tblPrEx>
        <w:trPr>
          <w:trHeight w:val="80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支持夜间经济</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鼓励开展夜市活动。</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1.“夜上海特色消费示范区”称号：一次性奖励20万元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2.“夜上海特色商业培育试点”称号：一次性奖励10万元</w:t>
            </w:r>
          </w:p>
        </w:tc>
      </w:tr>
      <w:tr>
        <w:tblPrEx>
          <w:shd w:val="clear" w:color="auto" w:fill="auto"/>
          <w:tblCellMar>
            <w:top w:w="0" w:type="dxa"/>
            <w:left w:w="0" w:type="dxa"/>
            <w:bottom w:w="0" w:type="dxa"/>
            <w:right w:w="0" w:type="dxa"/>
          </w:tblCellMar>
        </w:tblPrEx>
        <w:trPr>
          <w:trHeight w:val="1169"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支持品牌建设</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新引进国家级、市级“老字号”称号的商业运营主体，入驻平稳运营满一年，同时签订不低于3年租赁协议。</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1.国家级“老字号”称号：一次性奖励20万元。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2.市级“老字号”称号：一次性奖励10万元。</w:t>
            </w:r>
          </w:p>
        </w:tc>
      </w:tr>
      <w:tr>
        <w:tblPrEx>
          <w:shd w:val="clear" w:color="auto" w:fill="auto"/>
          <w:tblCellMar>
            <w:top w:w="0" w:type="dxa"/>
            <w:left w:w="0" w:type="dxa"/>
            <w:bottom w:w="0" w:type="dxa"/>
            <w:right w:w="0" w:type="dxa"/>
          </w:tblCellMar>
        </w:tblPrEx>
        <w:trPr>
          <w:trHeight w:val="1100"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支持商业环境建设</w:t>
            </w: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鼓励支持商业市场主体和运营主体组织参与大型促消费主题活动。对列入市级五五购物节、六六夜生活节等重大购物节活动名单或其他市级认定符合年度重大推广促消费主题活动名单的，给予奖励。</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1.市级：每个主体按每次活动奖励3万元，全年最高不超过15万元。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2.区级：每个主体按每次活动奖励1万元，全年最高不超过5万元。</w:t>
            </w:r>
          </w:p>
        </w:tc>
      </w:tr>
      <w:tr>
        <w:tblPrEx>
          <w:shd w:val="clear" w:color="auto" w:fill="auto"/>
          <w:tblCellMar>
            <w:top w:w="0" w:type="dxa"/>
            <w:left w:w="0" w:type="dxa"/>
            <w:bottom w:w="0" w:type="dxa"/>
            <w:right w:w="0" w:type="dxa"/>
          </w:tblCellMar>
        </w:tblPrEx>
        <w:trPr>
          <w:trHeight w:val="113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sz w:val="24"/>
                <w:szCs w:val="24"/>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重点区域商业综合体、社区商业中心、高端商业品牌引入等新建、改造项目进程中所涉及的规划、建设、消防、质量检测、食品经营、市政市容等行政审批事项进行会商。</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开启“绿色通道”，提供开业便利，实施“包容审慎”监管</w:t>
            </w:r>
          </w:p>
        </w:tc>
      </w:tr>
      <w:tr>
        <w:tblPrEx>
          <w:tblCellMar>
            <w:top w:w="0" w:type="dxa"/>
            <w:left w:w="0" w:type="dxa"/>
            <w:bottom w:w="0" w:type="dxa"/>
            <w:right w:w="0" w:type="dxa"/>
          </w:tblCellMar>
        </w:tblPrEx>
        <w:trPr>
          <w:trHeight w:val="663"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color w:val="000000"/>
                <w:sz w:val="24"/>
                <w:szCs w:val="24"/>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促进崇明商业升级、产业转型且符合崇明区商业发展的国内外商业品牌入驻崇明的。</w:t>
            </w:r>
          </w:p>
        </w:tc>
        <w:tc>
          <w:tcPr>
            <w:tcW w:w="3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优先为所属企业符合条件的国内外优秀人才落实人才引进相关政策。</w:t>
            </w:r>
          </w:p>
        </w:tc>
      </w:tr>
    </w:tbl>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楷体_GB2312" w:hAnsi="楷体_GB2312" w:eastAsia="楷体_GB2312" w:cs="楷体_GB2312"/>
          <w:sz w:val="32"/>
          <w:szCs w:val="32"/>
          <w:u w:val="none"/>
          <w:lang w:val="en-US" w:eastAsia="zh-CN"/>
        </w:rPr>
      </w:pPr>
    </w:p>
    <w:p>
      <w:pPr>
        <w:keepNext w:val="0"/>
        <w:keepLines w:val="0"/>
        <w:pageBreakBefore w:val="0"/>
        <w:widowControl w:val="0"/>
        <w:numPr>
          <w:ilvl w:val="0"/>
          <w:numId w:val="1"/>
        </w:numPr>
        <w:kinsoku/>
        <w:wordWrap/>
        <w:overflowPunct/>
        <w:topLinePunct w:val="0"/>
        <w:autoSpaceDE/>
        <w:autoSpaceDN/>
        <w:bidi w:val="0"/>
        <w:spacing w:line="540" w:lineRule="exact"/>
        <w:ind w:firstLine="640" w:firstLineChars="200"/>
        <w:jc w:val="left"/>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申报办理</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各乡镇经济发展办、集团（园区）企业服务部统一办理本乡镇（园区）促进商业发展财政专项支持资金的项目申报工作。</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2.申报时间：当年的11月15日至12月31日进行项目集中申报。</w:t>
      </w:r>
    </w:p>
    <w:p>
      <w:pPr>
        <w:pStyle w:val="2"/>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3.申报方式：</w:t>
      </w:r>
      <w:r>
        <w:rPr>
          <w:rFonts w:hint="eastAsia" w:ascii="仿宋_GB2312" w:hAnsi="仿宋_GB2312" w:eastAsia="仿宋_GB2312" w:cs="仿宋_GB2312"/>
          <w:sz w:val="32"/>
          <w:szCs w:val="32"/>
        </w:rPr>
        <w:t>登录“崇明区产业发展服务平台”进行网上填报。企业可在浏览器中打开崇明区企业专属网页，网址：https://zwdt.sh.gov.cn/qykj/shel</w:t>
      </w:r>
      <w:bookmarkStart w:id="0" w:name="_GoBack"/>
      <w:bookmarkEnd w:id="0"/>
      <w:r>
        <w:rPr>
          <w:rFonts w:hint="eastAsia" w:ascii="仿宋_GB2312" w:hAnsi="仿宋_GB2312" w:eastAsia="仿宋_GB2312" w:cs="仿宋_GB2312"/>
          <w:sz w:val="32"/>
          <w:szCs w:val="32"/>
        </w:rPr>
        <w:t>l_oc_cm/enterprise/eindex?point=YKJHY_01，在页面内找到并点击“崇明区产业发展服务平台”，点击进入后使用“法人一证通”或“电子营业执照”登录，</w:t>
      </w:r>
      <w:r>
        <w:rPr>
          <w:rFonts w:hint="eastAsia" w:ascii="仿宋_GB2312" w:hAnsi="仿宋_GB2312" w:eastAsia="仿宋_GB2312" w:cs="仿宋_GB2312"/>
          <w:sz w:val="32"/>
          <w:szCs w:val="32"/>
          <w:lang w:eastAsia="zh-CN"/>
        </w:rPr>
        <w:t>登录成功后点击进入“生态新文旅”版块，</w:t>
      </w:r>
      <w:r>
        <w:rPr>
          <w:rFonts w:hint="eastAsia" w:ascii="仿宋_GB2312" w:hAnsi="仿宋_GB2312" w:eastAsia="仿宋_GB2312" w:cs="仿宋_GB2312"/>
          <w:sz w:val="32"/>
          <w:szCs w:val="32"/>
        </w:rPr>
        <w:t>即可进行政策项目申报。</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u w:val="none"/>
          <w:lang w:val="en-US" w:eastAsia="zh-CN"/>
        </w:rPr>
        <w:t>（四）试行期限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本实施细则自</w:t>
      </w:r>
      <w:r>
        <w:rPr>
          <w:rFonts w:hint="eastAsia" w:ascii="仿宋_GB2312" w:hAnsi="仿宋_GB2312" w:eastAsia="仿宋_GB2312" w:cs="仿宋_GB2312"/>
          <w:sz w:val="32"/>
          <w:szCs w:val="32"/>
          <w:lang w:val="en-US" w:eastAsia="zh-CN"/>
        </w:rPr>
        <w:t>2022年10月31日</w:t>
      </w:r>
      <w:r>
        <w:rPr>
          <w:rFonts w:hint="eastAsia" w:ascii="仿宋_GB2312" w:hAnsi="仿宋_GB2312" w:eastAsia="仿宋_GB2312" w:cs="仿宋_GB2312"/>
          <w:sz w:val="32"/>
          <w:szCs w:val="32"/>
        </w:rPr>
        <w:t>起施行，至2023年12月31日结束。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_GB2312" w:cs="仿宋_GB2312"/>
          <w:color w:val="000000"/>
          <w:sz w:val="32"/>
          <w:szCs w:val="32"/>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D7833"/>
    <w:multiLevelType w:val="singleLevel"/>
    <w:tmpl w:val="7D8D783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YzA0YWNmOTk4NzA3ZmQ5M2ZhOGQ0ZTRhMDVhMjkifQ=="/>
  </w:docVars>
  <w:rsids>
    <w:rsidRoot w:val="53863BF5"/>
    <w:rsid w:val="08131968"/>
    <w:rsid w:val="13AC100C"/>
    <w:rsid w:val="303C6C09"/>
    <w:rsid w:val="362F4B72"/>
    <w:rsid w:val="47AA515A"/>
    <w:rsid w:val="4DEB633B"/>
    <w:rsid w:val="53863BF5"/>
    <w:rsid w:val="7D11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99"/>
    <w:rPr>
      <w:rFonts w:ascii="Microsoft YaHei UI" w:eastAsia="Microsoft YaHei UI"/>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rFonts w:hint="default" w:ascii="Times New Roman" w:hAnsi="Times New Roman" w:cs="Times New Roman"/>
      <w:b/>
      <w:bCs/>
    </w:rPr>
  </w:style>
  <w:style w:type="character" w:customStyle="1" w:styleId="9">
    <w:name w:val="font11"/>
    <w:basedOn w:val="7"/>
    <w:qFormat/>
    <w:uiPriority w:val="0"/>
    <w:rPr>
      <w:rFonts w:hint="eastAsia" w:ascii="宋体" w:hAnsi="宋体" w:eastAsia="宋体" w:cs="宋体"/>
      <w:b/>
      <w:color w:val="000000"/>
      <w:sz w:val="22"/>
      <w:szCs w:val="22"/>
      <w:u w:val="none"/>
    </w:rPr>
  </w:style>
  <w:style w:type="character" w:customStyle="1" w:styleId="10">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1820</Words>
  <Characters>1899</Characters>
  <Lines>0</Lines>
  <Paragraphs>0</Paragraphs>
  <TotalTime>2</TotalTime>
  <ScaleCrop>false</ScaleCrop>
  <LinksUpToDate>false</LinksUpToDate>
  <CharactersWithSpaces>1900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2021-06-01T05:53:00Z</dcterms:created>
  <dc:creator>田晶</dc:creator>
  <cp:lastModifiedBy>近朱者赤</cp:lastModifiedBy>
  <dcterms:modified xsi:type="dcterms:W3CDTF">2022-11-17T02:04:30Z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0D1475A6DA504E369F0D649DFE33EBFF</vt:lpwstr>
  </property>
</Properties>
</file>